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4E3B17D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DB2D4A">
        <w:rPr>
          <w:b/>
          <w:bCs/>
          <w:sz w:val="20"/>
          <w:szCs w:val="20"/>
          <w:lang w:val="kk-KZ"/>
        </w:rPr>
        <w:t>24</w:t>
      </w:r>
      <w:r w:rsidRPr="556F7118">
        <w:rPr>
          <w:b/>
          <w:bCs/>
          <w:sz w:val="20"/>
          <w:szCs w:val="20"/>
          <w:lang w:val="kk-KZ"/>
        </w:rPr>
        <w:t>-20</w:t>
      </w:r>
      <w:r w:rsidR="00DB2D4A">
        <w:rPr>
          <w:b/>
          <w:bCs/>
          <w:sz w:val="20"/>
          <w:szCs w:val="20"/>
          <w:lang w:val="kk-KZ"/>
        </w:rPr>
        <w:t xml:space="preserve">25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31E34B51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B2D4A">
        <w:rPr>
          <w:b/>
          <w:sz w:val="20"/>
          <w:szCs w:val="20"/>
          <w:lang w:val="kk-KZ"/>
        </w:rPr>
        <w:t>6В02104 кино</w:t>
      </w:r>
      <w:r w:rsidR="00DB2D4A" w:rsidRPr="00DB2D4A">
        <w:rPr>
          <w:b/>
          <w:sz w:val="20"/>
          <w:szCs w:val="20"/>
        </w:rPr>
        <w:t>&amp;</w:t>
      </w:r>
      <w:r w:rsidR="00DB2D4A">
        <w:rPr>
          <w:b/>
          <w:sz w:val="20"/>
          <w:szCs w:val="20"/>
          <w:lang w:val="kk-KZ"/>
        </w:rPr>
        <w:t>медиа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DB2D4A" w:rsidRDefault="00FC1689" w:rsidP="00591BDF">
      <w:pPr>
        <w:rPr>
          <w:b/>
          <w:sz w:val="20"/>
          <w:szCs w:val="20"/>
          <w:lang w:val="kk-KZ"/>
        </w:rPr>
      </w:pPr>
    </w:p>
    <w:p w14:paraId="08DD5C4C" w14:textId="13D9390E" w:rsidR="00227FC8" w:rsidRPr="00D07190" w:rsidRDefault="00DB2D4A" w:rsidP="0010667E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3885C1A" w:rsidR="00AC0EFC" w:rsidRPr="00EB0909" w:rsidRDefault="000A4445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7741C06" w:rsidR="00441994" w:rsidRPr="000A4445" w:rsidRDefault="000A4445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0A4445">
              <w:rPr>
                <w:bCs/>
                <w:i/>
                <w:iCs/>
                <w:sz w:val="16"/>
                <w:szCs w:val="16"/>
                <w:lang w:val="kk-KZ"/>
              </w:rPr>
              <w:t>Б</w:t>
            </w:r>
            <w:r w:rsidR="0043016B" w:rsidRPr="000A4445">
              <w:rPr>
                <w:bCs/>
                <w:i/>
                <w:iCs/>
                <w:sz w:val="16"/>
                <w:szCs w:val="16"/>
                <w:lang w:val="kk-KZ"/>
              </w:rPr>
              <w:t>ӨЖ</w:t>
            </w:r>
            <w:r w:rsidRPr="000A4445">
              <w:rPr>
                <w:bCs/>
                <w:i/>
                <w:iCs/>
                <w:sz w:val="16"/>
                <w:szCs w:val="16"/>
                <w:lang w:val="kk-KZ"/>
              </w:rPr>
              <w:t>-5</w:t>
            </w:r>
          </w:p>
          <w:p w14:paraId="5604C44D" w14:textId="245F437C" w:rsidR="00AB0852" w:rsidRPr="000A4445" w:rsidRDefault="00441994">
            <w:pPr>
              <w:jc w:val="center"/>
              <w:rPr>
                <w:sz w:val="20"/>
                <w:szCs w:val="20"/>
              </w:rPr>
            </w:pPr>
            <w:r w:rsidRPr="000A444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27411D5D" w:rsidR="00441994" w:rsidRPr="00441994" w:rsidRDefault="0043016B" w:rsidP="00441994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саны </w:t>
            </w:r>
            <w:r w:rsidR="00441994" w:rsidRPr="00441994">
              <w:rPr>
                <w:color w:val="FF0000"/>
                <w:sz w:val="16"/>
                <w:szCs w:val="16"/>
              </w:rPr>
              <w:t xml:space="preserve">6-7. </w:t>
            </w:r>
          </w:p>
          <w:p w14:paraId="13ED66B9" w14:textId="6FB5758D" w:rsidR="0043016B" w:rsidRPr="00441994" w:rsidRDefault="0043016B" w:rsidP="0043016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Бұл </w:t>
            </w:r>
            <w:r w:rsidR="0090036D">
              <w:rPr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color w:val="FF0000"/>
                <w:sz w:val="16"/>
                <w:szCs w:val="16"/>
                <w:lang w:val="kk-KZ"/>
              </w:rPr>
              <w:t>ӨЖ дайындау бойынша оқытушының кеңес беру бойынша көмегі.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6A04D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A04D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92483FD" w:rsidR="00A77510" w:rsidRPr="00DB2D4A" w:rsidRDefault="00A87411" w:rsidP="00DB2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DB2D4A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DB2D4A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DB2D4A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  <w:r w:rsidR="00DB2D4A" w:rsidRPr="00DB2D4A">
              <w:rPr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1526897" w:rsidR="00A77510" w:rsidRPr="00DB2D4A" w:rsidRDefault="00DB2D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Нуспекова ЖаннаТулендиевна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27C9C61" w:rsidR="00A77510" w:rsidRPr="00DB2D4A" w:rsidRDefault="00DB2D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Nuzhanna@yandex.ru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138B21" w:rsidR="00A77510" w:rsidRPr="003708FF" w:rsidRDefault="00DB2D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+7778582173</w:t>
            </w:r>
            <w:r w:rsidR="003708F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ACE9E6C" w:rsidR="00A77510" w:rsidRPr="00DB2D4A" w:rsidRDefault="00DB2D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Мамырова Кулайым Сейтнуровна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28F83DA" w:rsidR="00A77510" w:rsidRPr="00DB2D4A" w:rsidRDefault="00DB2D4A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mamyrova1801@gmail.com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8066AB5" w:rsidR="00A77510" w:rsidRPr="00DB2D4A" w:rsidRDefault="00DB2D4A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87053367260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атындығының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н көрсетіңіз: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6A04D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286C71A" w14:textId="45FADB6F" w:rsidR="00D07190" w:rsidRPr="008F66D7" w:rsidRDefault="006D6F87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Тұжырымдауды анықталмаған формадағы етістіктен, төмендегілерге сүйеніп бастау қажет:</w:t>
            </w:r>
          </w:p>
          <w:p w14:paraId="066A4FC6" w14:textId="4925697F" w:rsidR="00D07190" w:rsidRDefault="006D6F8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беру бағдарламасы бойынша ОН;</w:t>
            </w:r>
            <w:r w:rsidR="0063525E" w:rsidRPr="00D07190">
              <w:rPr>
                <w:color w:val="FF0000"/>
                <w:sz w:val="16"/>
                <w:szCs w:val="16"/>
              </w:rPr>
              <w:t xml:space="preserve"> </w:t>
            </w:r>
          </w:p>
          <w:p w14:paraId="39941AE5" w14:textId="7D899B65" w:rsidR="00D07190" w:rsidRDefault="008F66D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 деңгейіне сәйкес </w:t>
            </w:r>
            <w:r w:rsidR="00D07190">
              <w:rPr>
                <w:color w:val="FF0000"/>
                <w:sz w:val="16"/>
                <w:szCs w:val="16"/>
              </w:rPr>
              <w:t>д</w:t>
            </w:r>
            <w:r w:rsidR="00DB3F5E" w:rsidRPr="00D07190">
              <w:rPr>
                <w:color w:val="FF0000"/>
                <w:sz w:val="16"/>
                <w:szCs w:val="16"/>
              </w:rPr>
              <w:t>ескриптор</w:t>
            </w:r>
            <w:r>
              <w:rPr>
                <w:color w:val="FF0000"/>
                <w:sz w:val="16"/>
                <w:szCs w:val="16"/>
                <w:lang w:val="kk-KZ"/>
              </w:rPr>
              <w:t>лар</w:t>
            </w:r>
            <w:r w:rsidR="00D07190">
              <w:rPr>
                <w:color w:val="FF0000"/>
                <w:sz w:val="16"/>
                <w:szCs w:val="16"/>
              </w:rPr>
              <w:t>;</w:t>
            </w:r>
          </w:p>
          <w:p w14:paraId="5879C474" w14:textId="71CB54EF" w:rsidR="00A02A85" w:rsidRPr="00D07190" w:rsidRDefault="008F66D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D07190">
              <w:rPr>
                <w:color w:val="FF0000"/>
                <w:sz w:val="16"/>
                <w:szCs w:val="16"/>
              </w:rPr>
              <w:t>Блум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т</w:t>
            </w:r>
            <w:r w:rsidR="00DB3F5E" w:rsidRPr="00D07190">
              <w:rPr>
                <w:color w:val="FF0000"/>
                <w:sz w:val="16"/>
                <w:szCs w:val="16"/>
              </w:rPr>
              <w:t>аксоном</w:t>
            </w:r>
            <w:r>
              <w:rPr>
                <w:color w:val="FF0000"/>
                <w:sz w:val="16"/>
                <w:szCs w:val="16"/>
                <w:lang w:val="kk-KZ"/>
              </w:rPr>
              <w:t>иясы бойынша</w:t>
            </w:r>
            <w:r w:rsidR="00D0719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05C44AD" w:rsidR="00A02A85" w:rsidRPr="00F265DE" w:rsidRDefault="006D6F87" w:rsidP="006D6F87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</w:t>
            </w:r>
            <w:r w:rsidRPr="00DB398B">
              <w:rPr>
                <w:color w:val="FF0000"/>
                <w:sz w:val="16"/>
                <w:szCs w:val="16"/>
                <w:lang w:val="kk-KZ"/>
              </w:rPr>
              <w:t>д</w:t>
            </w:r>
            <w:r w:rsidR="0071052D">
              <w:rPr>
                <w:color w:val="FF0000"/>
                <w:sz w:val="16"/>
                <w:szCs w:val="16"/>
                <w:lang w:val="kk-KZ"/>
              </w:rPr>
              <w:t>і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категорияларға сәйкес қалыптасады.</w:t>
            </w:r>
          </w:p>
        </w:tc>
      </w:tr>
      <w:tr w:rsidR="00931DE8" w:rsidRPr="003F2DC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</w:p>
        </w:tc>
      </w:tr>
      <w:tr w:rsidR="00931DE8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931DE8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931DE8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</w:p>
        </w:tc>
      </w:tr>
      <w:tr w:rsidR="00931DE8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</w:p>
        </w:tc>
      </w:tr>
      <w:tr w:rsidR="00931DE8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</w:p>
        </w:tc>
      </w:tr>
      <w:tr w:rsidR="00931DE8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B77F6B">
            <w:pPr>
              <w:rPr>
                <w:sz w:val="20"/>
                <w:szCs w:val="20"/>
              </w:rPr>
            </w:pP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8EDA43" w14:textId="0A0BE0B2" w:rsidR="005754DB" w:rsidRPr="008F66D7" w:rsidRDefault="008F66D7" w:rsidP="00B77F6B">
            <w:pP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5-7 кем емес толық библиографиялық сипаттамасы</w:t>
            </w:r>
            <w:r w:rsidR="00473706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бар</w:t>
            </w: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әдеби дереккөздер келтіру.</w:t>
            </w:r>
            <w:r w:rsidR="00A02A85" w:rsidRPr="008F66D7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</w:p>
          <w:p w14:paraId="37117FBD" w14:textId="0117E722" w:rsidR="00A02A85" w:rsidRPr="00407938" w:rsidRDefault="00473706" w:rsidP="00B77F6B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Өзектілігі: жаратылыстану-ғылыми бағытындағылар үшін 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– 10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="00BD6DA7" w:rsidRPr="00407938">
              <w:rPr>
                <w:color w:val="FF0000"/>
                <w:sz w:val="16"/>
                <w:szCs w:val="16"/>
                <w:lang w:val="kk-KZ"/>
              </w:rPr>
              <w:t xml:space="preserve">;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әлеуметтік-гуманитарлық бағыттағылар үшін </w:t>
            </w:r>
            <w:r w:rsidR="00BD6DA7" w:rsidRPr="00407938">
              <w:rPr>
                <w:color w:val="FF0000"/>
                <w:sz w:val="16"/>
                <w:szCs w:val="16"/>
                <w:lang w:val="kk-KZ"/>
              </w:rPr>
              <w:t xml:space="preserve">– 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5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0877E63E" w14:textId="183DD0A5" w:rsidR="00471A80" w:rsidRPr="00407938" w:rsidRDefault="00473706" w:rsidP="00B77F6B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lastRenderedPageBreak/>
              <w:t>Өзектілігімен талап етілетін ертеде жарияланған іргелі еңбектер</w:t>
            </w:r>
            <w:r w:rsidR="003F5376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–</w:t>
            </w:r>
            <w:r w:rsidR="00206C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  <w:r w:rsidR="00471A80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1-2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артық емес</w:t>
            </w:r>
            <w:r w:rsidR="00471A80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355E4A08" w14:textId="77777777" w:rsidR="00A02A85" w:rsidRPr="00E941DF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</w:p>
          <w:p w14:paraId="7D4ADC9C" w14:textId="77777777" w:rsidR="00A02A85" w:rsidRPr="00E941DF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5736B975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6553FBD7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(3-5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="00A02A85" w:rsidRPr="00407938">
              <w:rPr>
                <w:color w:val="FF0000"/>
                <w:sz w:val="16"/>
                <w:szCs w:val="16"/>
              </w:rPr>
              <w:t>)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5DC95BB2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30BA8672" w14:textId="69A3E6F3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5061C05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708FF" w:rsidRPr="003708FF">
              <w:rPr>
                <w:sz w:val="20"/>
                <w:szCs w:val="20"/>
                <w:lang w:val="kk-KZ"/>
              </w:rPr>
              <w:t>+7778582173</w:t>
            </w:r>
            <w:r w:rsidR="003708FF">
              <w:rPr>
                <w:sz w:val="20"/>
                <w:szCs w:val="20"/>
                <w:lang w:val="kk-KZ"/>
              </w:rPr>
              <w:t xml:space="preserve">0, </w:t>
            </w:r>
            <w:r w:rsidR="00D652B6">
              <w:fldChar w:fldCharType="begin"/>
            </w:r>
            <w:r w:rsidR="00D652B6" w:rsidRPr="006A04D7">
              <w:rPr>
                <w:lang w:val="kk-KZ"/>
              </w:rPr>
              <w:instrText xml:space="preserve"> HYPERLINK "mailto:Nuzhanna@yandex.ru" </w:instrText>
            </w:r>
            <w:r w:rsidR="00D652B6">
              <w:fldChar w:fldCharType="separate"/>
            </w:r>
            <w:r w:rsidR="003708FF" w:rsidRPr="00B91BA2">
              <w:rPr>
                <w:rStyle w:val="af9"/>
                <w:sz w:val="20"/>
                <w:szCs w:val="20"/>
                <w:lang w:val="kk-KZ"/>
              </w:rPr>
              <w:t>Nuzhanna@yandex.ru</w:t>
            </w:r>
            <w:r w:rsidR="00D652B6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AC3E66" w:rsidRPr="00AC3E66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r w:rsidRPr="00AC3E66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03DAE58B" w:rsidR="00F24096" w:rsidRPr="0057701D" w:rsidRDefault="00992B40" w:rsidP="000A444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A04D7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6EC2FE1" w:rsidR="000E3AA2" w:rsidRPr="00D87FC7" w:rsidRDefault="000A444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87FC7"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D18C71" w:rsidR="000E3AA2" w:rsidRPr="00D87FC7" w:rsidRDefault="001A781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87FC7">
              <w:rPr>
                <w:sz w:val="16"/>
                <w:szCs w:val="16"/>
                <w:lang w:val="kk-KZ"/>
              </w:rPr>
              <w:t>АБ1-65, АБ2-64</w:t>
            </w:r>
          </w:p>
        </w:tc>
      </w:tr>
      <w:tr w:rsidR="00C82184" w:rsidRPr="003F2DC5" w14:paraId="012AB828" w14:textId="77777777" w:rsidTr="007928E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8C39AA2" w:rsidR="00C82184" w:rsidRPr="00D87FC7" w:rsidRDefault="001A781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87FC7">
              <w:rPr>
                <w:sz w:val="16"/>
                <w:szCs w:val="16"/>
                <w:lang w:val="kk-KZ"/>
              </w:rPr>
              <w:t>АБ-1-35, АБ2-36</w:t>
            </w:r>
          </w:p>
        </w:tc>
      </w:tr>
      <w:tr w:rsidR="00C82184" w:rsidRPr="003F2DC5" w14:paraId="5FFF3F67" w14:textId="77777777" w:rsidTr="007928E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2634F70" w:rsidR="00C82184" w:rsidRPr="009C29E7" w:rsidRDefault="001A7815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82184" w:rsidRPr="003F2DC5" w14:paraId="720EC03E" w14:textId="77777777" w:rsidTr="007928EB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7928EB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7928EB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7928EB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AC9D391" w:rsidR="008642A4" w:rsidRPr="003F2DC5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  <w:p w14:paraId="576E1514" w14:textId="429953D5" w:rsidR="008642A4" w:rsidRPr="003F2DC5" w:rsidRDefault="00F52A9F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Модульдер саны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тақырыптар атауы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БӨЗ саны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компоненттерді апталарға бөлу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 xml:space="preserve"> мәселесін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оқытушы айқындайды, 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бәлімді бағалауды силлабусты құрастырушы анықтайды.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B6269B9" w:rsidR="008642A4" w:rsidRPr="003708FF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8FF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708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708FF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3708FF" w:rsidRPr="003708FF">
              <w:rPr>
                <w:sz w:val="20"/>
                <w:szCs w:val="20"/>
              </w:rPr>
              <w:t>Қоюшы-суретші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мамандығына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кіріспе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: </w:t>
            </w:r>
            <w:proofErr w:type="spellStart"/>
            <w:r w:rsidR="003708FF" w:rsidRPr="003708FF">
              <w:rPr>
                <w:sz w:val="20"/>
                <w:szCs w:val="20"/>
              </w:rPr>
              <w:t>тарих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және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r w:rsidR="003708FF" w:rsidRPr="003708FF">
              <w:rPr>
                <w:color w:val="000000" w:themeColor="text1"/>
                <w:sz w:val="20"/>
                <w:szCs w:val="20"/>
              </w:rPr>
              <w:t>даму</w:t>
            </w:r>
          </w:p>
        </w:tc>
        <w:tc>
          <w:tcPr>
            <w:tcW w:w="860" w:type="dxa"/>
            <w:shd w:val="clear" w:color="auto" w:fill="auto"/>
          </w:tcPr>
          <w:p w14:paraId="1FC6CB41" w14:textId="0C1E410B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1D8F7B3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2AF3A3E5" w14:textId="77777777" w:rsidTr="00F74A1A">
        <w:trPr>
          <w:trHeight w:val="550"/>
        </w:trPr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57F353D6" w:rsidR="008642A4" w:rsidRPr="003708FF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Тарихи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талдау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нақты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фильмдер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мен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олардың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қоюшы-суретшілерінің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мысалдарымен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кино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дизайнері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мамандығының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дамуы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туралы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презентация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дайындаңыз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.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Уақыт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өте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келе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рөлдер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мен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жауапкершіліктің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қалай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өзгергенін</w:t>
            </w:r>
            <w:proofErr w:type="spellEnd"/>
            <w:r w:rsidR="003708FF" w:rsidRPr="003708FF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rFonts w:eastAsia="Aptos"/>
                <w:sz w:val="20"/>
                <w:szCs w:val="20"/>
              </w:rPr>
              <w:t>талқылаңыз</w:t>
            </w:r>
            <w:proofErr w:type="spellEnd"/>
            <w:r w:rsidR="003708FF">
              <w:rPr>
                <w:rFonts w:eastAsia="Aptos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CFE1C3" w14:textId="2BA37116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19B244D9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FF5BC59" w:rsidR="008642A4" w:rsidRPr="003708FF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708FF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708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708FF">
              <w:rPr>
                <w:b/>
                <w:sz w:val="20"/>
                <w:szCs w:val="20"/>
              </w:rPr>
              <w:t xml:space="preserve">2. </w:t>
            </w:r>
            <w:r w:rsidR="008642A4" w:rsidRPr="003708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708FF" w:rsidRPr="003708FF">
              <w:rPr>
                <w:sz w:val="20"/>
                <w:szCs w:val="20"/>
                <w:lang w:val="kk-KZ"/>
              </w:rPr>
              <w:t>Атақты дизайнерлер: Данте Феретти, Седрик Гиббонс, Джесс Гончор және т. б</w:t>
            </w:r>
          </w:p>
        </w:tc>
        <w:tc>
          <w:tcPr>
            <w:tcW w:w="860" w:type="dxa"/>
            <w:shd w:val="clear" w:color="auto" w:fill="auto"/>
          </w:tcPr>
          <w:p w14:paraId="37331017" w14:textId="19EE3762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2CF626C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27F936EA" w:rsidR="008642A4" w:rsidRPr="003708FF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8FF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708FF">
              <w:rPr>
                <w:b/>
                <w:sz w:val="20"/>
                <w:szCs w:val="20"/>
              </w:rPr>
              <w:t xml:space="preserve"> 2.</w:t>
            </w:r>
            <w:r w:rsidR="008642A4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Тұжырымдаманың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практикалық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тапсырмасы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: </w:t>
            </w:r>
            <w:proofErr w:type="spellStart"/>
            <w:r w:rsidR="00076EC3" w:rsidRPr="00076EC3">
              <w:rPr>
                <w:sz w:val="20"/>
                <w:szCs w:val="20"/>
              </w:rPr>
              <w:t>негізгі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жиынтықтардың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</w:t>
            </w:r>
            <w:proofErr w:type="spellStart"/>
            <w:r w:rsidR="00076EC3" w:rsidRPr="00076EC3">
              <w:rPr>
                <w:sz w:val="20"/>
                <w:szCs w:val="20"/>
              </w:rPr>
              <w:t>түстер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палитрасының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және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текстуралардың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сипаттамасын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қоса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</w:t>
            </w:r>
            <w:proofErr w:type="spellStart"/>
            <w:r w:rsidR="00076EC3" w:rsidRPr="00076EC3">
              <w:rPr>
                <w:sz w:val="20"/>
                <w:szCs w:val="20"/>
              </w:rPr>
              <w:t>жоқ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фильм </w:t>
            </w:r>
            <w:proofErr w:type="spellStart"/>
            <w:r w:rsidR="00076EC3" w:rsidRPr="00076EC3">
              <w:rPr>
                <w:sz w:val="20"/>
                <w:szCs w:val="20"/>
              </w:rPr>
              <w:t>үшін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визуалды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стиль </w:t>
            </w:r>
            <w:proofErr w:type="spellStart"/>
            <w:r w:rsidR="00076EC3" w:rsidRPr="00076EC3">
              <w:rPr>
                <w:sz w:val="20"/>
                <w:szCs w:val="20"/>
              </w:rPr>
              <w:t>тұжырымдамасын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жасаңыз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. </w:t>
            </w:r>
            <w:proofErr w:type="spellStart"/>
            <w:r w:rsidR="00076EC3" w:rsidRPr="00076EC3">
              <w:rPr>
                <w:sz w:val="20"/>
                <w:szCs w:val="20"/>
              </w:rPr>
              <w:t>Өз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идеяңыздың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қысқаша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презентациясын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жасаңыз</w:t>
            </w:r>
            <w:proofErr w:type="spellEnd"/>
            <w:r w:rsidR="00076EC3" w:rsidRPr="00076EC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5E30B4" w14:textId="48FFAF70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7F6818" w14:textId="13FA2C3D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6A04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0F3AF4FE" w:rsidR="00455784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  <w:p w14:paraId="3AC03C6A" w14:textId="7E9960A0" w:rsidR="008642A4" w:rsidRPr="00697944" w:rsidRDefault="00F52A9F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color w:val="FF0000"/>
                <w:sz w:val="20"/>
                <w:szCs w:val="20"/>
                <w:lang w:val="kk-KZ"/>
              </w:rPr>
              <w:t>НАЗАРЫҢЫЗҒА!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>15 апта</w:t>
            </w:r>
            <w:r w:rsidR="00665736">
              <w:rPr>
                <w:bCs/>
                <w:color w:val="FF0000"/>
                <w:sz w:val="20"/>
                <w:szCs w:val="20"/>
                <w:lang w:val="kk-KZ"/>
              </w:rPr>
              <w:t xml:space="preserve"> ішіндегі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bCs/>
                <w:color w:val="FF0000"/>
                <w:sz w:val="20"/>
                <w:szCs w:val="20"/>
                <w:lang w:val="kk-KZ"/>
              </w:rPr>
              <w:t>ОБӨЖ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>саны</w:t>
            </w:r>
            <w:r w:rsidR="008642A4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(6-7)</w:t>
            </w:r>
            <w:r w:rsidR="002C05CD"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>БӨЗ саны</w:t>
            </w:r>
            <w:r w:rsidR="002C05CD" w:rsidRPr="00E941DF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="002C05CD" w:rsidRPr="00E941DF">
              <w:rPr>
                <w:bCs/>
                <w:color w:val="FF0000"/>
                <w:sz w:val="20"/>
                <w:szCs w:val="20"/>
                <w:lang w:val="kk-KZ"/>
              </w:rPr>
              <w:t>)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F74A1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F74A1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C138A56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708FF" w:rsidRPr="6C9C583D">
              <w:t>Қоюшы-суретшінің</w:t>
            </w:r>
            <w:proofErr w:type="spellEnd"/>
            <w:r w:rsidR="003708FF" w:rsidRPr="6C9C583D">
              <w:t xml:space="preserve"> </w:t>
            </w:r>
            <w:proofErr w:type="spellStart"/>
            <w:r w:rsidR="003708FF" w:rsidRPr="6C9C583D">
              <w:t>негізгі</w:t>
            </w:r>
            <w:proofErr w:type="spellEnd"/>
            <w:r w:rsidR="003708FF" w:rsidRPr="6C9C583D">
              <w:t xml:space="preserve"> </w:t>
            </w:r>
            <w:proofErr w:type="spellStart"/>
            <w:r w:rsidR="003708FF" w:rsidRPr="6C9C583D">
              <w:t>міндеттері</w:t>
            </w:r>
            <w:proofErr w:type="spellEnd"/>
            <w:r w:rsidR="003708FF" w:rsidRPr="6C9C583D">
              <w:t xml:space="preserve"> мен </w:t>
            </w:r>
            <w:proofErr w:type="spellStart"/>
            <w:r w:rsidR="003708FF" w:rsidRPr="6C9C583D">
              <w:t>міндеттері</w:t>
            </w:r>
            <w:proofErr w:type="spellEnd"/>
            <w:r w:rsidR="003708FF" w:rsidRPr="6C9C583D">
              <w:t xml:space="preserve">: </w:t>
            </w:r>
            <w:proofErr w:type="spellStart"/>
            <w:r w:rsidR="003708FF" w:rsidRPr="6C9C583D">
              <w:t>тұжырымдамадан</w:t>
            </w:r>
            <w:proofErr w:type="spellEnd"/>
            <w:r w:rsidR="003708FF" w:rsidRPr="6C9C583D">
              <w:t xml:space="preserve"> </w:t>
            </w:r>
            <w:proofErr w:type="spellStart"/>
            <w:r w:rsidR="003708FF" w:rsidRPr="6C9C583D">
              <w:t>іске</w:t>
            </w:r>
            <w:proofErr w:type="spellEnd"/>
            <w:r w:rsidR="003708FF" w:rsidRPr="6C9C583D">
              <w:t xml:space="preserve"> </w:t>
            </w:r>
            <w:proofErr w:type="spellStart"/>
            <w:r w:rsidR="003708FF" w:rsidRPr="6C9C583D">
              <w:t>асыруға</w:t>
            </w:r>
            <w:proofErr w:type="spellEnd"/>
            <w:r w:rsidR="003708FF" w:rsidRPr="6C9C583D">
              <w:t xml:space="preserve"> </w:t>
            </w:r>
            <w:proofErr w:type="spellStart"/>
            <w:r w:rsidR="003708FF" w:rsidRPr="6C9C583D">
              <w:t>дейін</w:t>
            </w:r>
            <w:proofErr w:type="spellEnd"/>
            <w:r w:rsidR="003708FF" w:rsidRPr="6C9C583D">
              <w:t xml:space="preserve">. </w:t>
            </w:r>
            <w:proofErr w:type="spellStart"/>
            <w:r w:rsidR="003708FF" w:rsidRPr="6C9C583D">
              <w:t>Мысал</w:t>
            </w:r>
            <w:proofErr w:type="spellEnd"/>
            <w:r w:rsidR="003708FF" w:rsidRPr="6C9C583D">
              <w:t xml:space="preserve"> - "</w:t>
            </w:r>
            <w:proofErr w:type="spellStart"/>
            <w:r w:rsidR="003708FF" w:rsidRPr="6C9C583D">
              <w:t>бөтен</w:t>
            </w:r>
            <w:proofErr w:type="spellEnd"/>
            <w:r w:rsidR="003708FF" w:rsidRPr="6C9C583D">
              <w:t xml:space="preserve">" </w:t>
            </w:r>
            <w:proofErr w:type="spellStart"/>
            <w:r w:rsidR="003708FF" w:rsidRPr="6C9C583D">
              <w:t>фильмі</w:t>
            </w:r>
            <w:proofErr w:type="spellEnd"/>
            <w:r w:rsidR="003708FF" w:rsidRPr="6C9C583D">
              <w:t xml:space="preserve"> Ганс </w:t>
            </w:r>
            <w:proofErr w:type="spellStart"/>
            <w:r w:rsidR="003708FF" w:rsidRPr="6C9C583D">
              <w:t>Гигер</w:t>
            </w:r>
            <w:proofErr w:type="spellEnd"/>
            <w:r w:rsidR="003708FF" w:rsidRPr="6C9C583D"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F7FDDBF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76AF46D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7F03CD2F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Рөлдік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ойын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: </w:t>
            </w:r>
            <w:proofErr w:type="spellStart"/>
            <w:r w:rsidR="00076EC3" w:rsidRPr="00076EC3">
              <w:rPr>
                <w:sz w:val="20"/>
                <w:szCs w:val="20"/>
              </w:rPr>
              <w:t>рөлдерді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(</w:t>
            </w:r>
            <w:proofErr w:type="spellStart"/>
            <w:r w:rsidR="00076EC3" w:rsidRPr="00076EC3">
              <w:rPr>
                <w:sz w:val="20"/>
                <w:szCs w:val="20"/>
              </w:rPr>
              <w:t>қоюшы-суретші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режиссер, оператор </w:t>
            </w:r>
            <w:proofErr w:type="spellStart"/>
            <w:r w:rsidR="00076EC3" w:rsidRPr="00076EC3">
              <w:rPr>
                <w:sz w:val="20"/>
                <w:szCs w:val="20"/>
              </w:rPr>
              <w:t>және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т.б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.) </w:t>
            </w:r>
            <w:proofErr w:type="spellStart"/>
            <w:r w:rsidR="00076EC3" w:rsidRPr="00076EC3">
              <w:rPr>
                <w:sz w:val="20"/>
                <w:szCs w:val="20"/>
              </w:rPr>
              <w:t>орналастыру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арқылы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экипаж </w:t>
            </w:r>
            <w:proofErr w:type="spellStart"/>
            <w:r w:rsidR="00076EC3" w:rsidRPr="00076EC3">
              <w:rPr>
                <w:sz w:val="20"/>
                <w:szCs w:val="20"/>
              </w:rPr>
              <w:t>жұмысының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динамикасын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қайта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жасаңыз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. Осы </w:t>
            </w:r>
            <w:proofErr w:type="spellStart"/>
            <w:r w:rsidR="00076EC3" w:rsidRPr="00076EC3">
              <w:rPr>
                <w:sz w:val="20"/>
                <w:szCs w:val="20"/>
              </w:rPr>
              <w:t>рөлдердің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әрқайсысы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түпкілікті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нәтижеге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қалай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әсер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ететінін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талқылаңыз</w:t>
            </w:r>
            <w:proofErr w:type="spellEnd"/>
            <w:r w:rsidR="00076EC3" w:rsidRPr="00076EC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89BA33B" w14:textId="0D2FE62C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5D1DEE9" w14:textId="019DE108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AE6A18" w14:textId="5793310A" w:rsidR="009E72A8" w:rsidRPr="00697944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>
              <w:rPr>
                <w:bCs/>
                <w:color w:val="FF0000"/>
                <w:sz w:val="20"/>
                <w:szCs w:val="20"/>
                <w:lang w:val="kk-KZ"/>
              </w:rPr>
              <w:t>Бақылау жұмысы</w:t>
            </w:r>
            <w:r w:rsidR="009E72A8" w:rsidRPr="00697944">
              <w:rPr>
                <w:color w:val="FF0000"/>
                <w:sz w:val="20"/>
                <w:szCs w:val="20"/>
              </w:rPr>
              <w:t xml:space="preserve">, тест, 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жеке</w:t>
            </w:r>
            <w:r w:rsidR="009E72A8" w:rsidRPr="00697944">
              <w:rPr>
                <w:color w:val="FF0000"/>
                <w:sz w:val="20"/>
                <w:szCs w:val="20"/>
              </w:rPr>
              <w:t>/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топтық жоба</w:t>
            </w:r>
            <w:r w:rsidR="009E72A8" w:rsidRPr="00697944">
              <w:rPr>
                <w:color w:val="FF0000"/>
                <w:sz w:val="20"/>
                <w:szCs w:val="20"/>
              </w:rPr>
              <w:t xml:space="preserve">, эссе, 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жағдаяттық мәселе</w:t>
            </w:r>
            <w:r w:rsidR="009E72A8" w:rsidRPr="00697944">
              <w:rPr>
                <w:color w:val="FF0000"/>
                <w:sz w:val="20"/>
                <w:szCs w:val="20"/>
              </w:rPr>
              <w:t>, тест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ілеу</w:t>
            </w:r>
            <w:r w:rsidR="009E72A8" w:rsidRPr="00697944">
              <w:rPr>
                <w:color w:val="FF0000"/>
                <w:sz w:val="20"/>
                <w:szCs w:val="20"/>
              </w:rPr>
              <w:t>, портфолио и т.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б</w:t>
            </w:r>
            <w:r w:rsidR="009E72A8" w:rsidRPr="00697944">
              <w:rPr>
                <w:color w:val="FF0000"/>
                <w:sz w:val="20"/>
                <w:szCs w:val="20"/>
              </w:rPr>
              <w:t xml:space="preserve">. </w:t>
            </w:r>
            <w:r w:rsidR="00885248">
              <w:rPr>
                <w:color w:val="FF0000"/>
                <w:sz w:val="20"/>
                <w:szCs w:val="20"/>
                <w:lang w:val="kk-KZ"/>
              </w:rPr>
              <w:t>оқытушының таңдауы бойынша</w:t>
            </w:r>
            <w:r w:rsidR="009E72A8" w:rsidRPr="00697944">
              <w:rPr>
                <w:color w:val="FF0000"/>
                <w:sz w:val="20"/>
                <w:szCs w:val="20"/>
              </w:rPr>
              <w:t>.</w:t>
            </w:r>
          </w:p>
          <w:p w14:paraId="2E2C4B9F" w14:textId="064418B6" w:rsidR="008642A4" w:rsidRPr="00885248" w:rsidRDefault="00885248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Аралық бақылауға қойылатын баллдардың жалпы санының </w:t>
            </w:r>
            <w:r w:rsidR="009E72A8" w:rsidRPr="00697944">
              <w:rPr>
                <w:color w:val="FF0000"/>
                <w:sz w:val="20"/>
                <w:szCs w:val="20"/>
              </w:rPr>
              <w:t>25-30</w:t>
            </w:r>
            <w:r w:rsidR="009E72A8" w:rsidRPr="006979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E72A8" w:rsidRPr="00697944">
              <w:rPr>
                <w:color w:val="FF0000"/>
                <w:sz w:val="20"/>
                <w:szCs w:val="20"/>
              </w:rPr>
              <w:t xml:space="preserve">% </w:t>
            </w:r>
            <w:r>
              <w:rPr>
                <w:color w:val="FF0000"/>
                <w:sz w:val="20"/>
                <w:szCs w:val="20"/>
                <w:lang w:val="kk-KZ"/>
              </w:rPr>
              <w:t>бағаланады.</w:t>
            </w:r>
          </w:p>
        </w:tc>
        <w:tc>
          <w:tcPr>
            <w:tcW w:w="860" w:type="dxa"/>
            <w:shd w:val="clear" w:color="auto" w:fill="auto"/>
          </w:tcPr>
          <w:p w14:paraId="745DF0B8" w14:textId="7FB1F1BF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97957D8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ED071C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Фильмнің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визуалды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стилін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құру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: </w:t>
            </w:r>
            <w:proofErr w:type="spellStart"/>
            <w:r w:rsidR="003708FF" w:rsidRPr="003708FF">
              <w:rPr>
                <w:sz w:val="20"/>
                <w:szCs w:val="20"/>
              </w:rPr>
              <w:t>түс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, </w:t>
            </w:r>
            <w:proofErr w:type="spellStart"/>
            <w:r w:rsidR="003708FF" w:rsidRPr="003708FF">
              <w:rPr>
                <w:sz w:val="20"/>
                <w:szCs w:val="20"/>
              </w:rPr>
              <w:t>құрылым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және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пішін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қабылдауға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қалай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әсер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етеді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0E01C7B6" w14:textId="20CEA87B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D9F8674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20CE206" w:rsidR="008642A4" w:rsidRPr="00076EC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6EC3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076EC3">
              <w:rPr>
                <w:b/>
                <w:sz w:val="20"/>
                <w:szCs w:val="20"/>
              </w:rPr>
              <w:t xml:space="preserve"> 4.</w:t>
            </w:r>
            <w:r w:rsidR="008642A4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Көрнекі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стильді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талдау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: </w:t>
            </w:r>
            <w:proofErr w:type="spellStart"/>
            <w:r w:rsidR="00076EC3" w:rsidRPr="00076EC3">
              <w:rPr>
                <w:sz w:val="20"/>
                <w:szCs w:val="20"/>
              </w:rPr>
              <w:t>түс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</w:t>
            </w:r>
            <w:proofErr w:type="spellStart"/>
            <w:r w:rsidR="00076EC3" w:rsidRPr="00076EC3">
              <w:rPr>
                <w:sz w:val="20"/>
                <w:szCs w:val="20"/>
              </w:rPr>
              <w:t>пішін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және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текстураны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пайдалануға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назар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аудара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отырып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</w:t>
            </w:r>
            <w:proofErr w:type="spellStart"/>
            <w:r w:rsidR="00076EC3" w:rsidRPr="00076EC3">
              <w:rPr>
                <w:sz w:val="20"/>
                <w:szCs w:val="20"/>
              </w:rPr>
              <w:t>фильмді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таңдап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, </w:t>
            </w:r>
            <w:proofErr w:type="spellStart"/>
            <w:r w:rsidR="00076EC3" w:rsidRPr="00076EC3">
              <w:rPr>
                <w:sz w:val="20"/>
                <w:szCs w:val="20"/>
              </w:rPr>
              <w:t>оның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визуалды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стилін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талдаңыз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. </w:t>
            </w:r>
            <w:proofErr w:type="spellStart"/>
            <w:r w:rsidR="00076EC3" w:rsidRPr="00076EC3">
              <w:rPr>
                <w:sz w:val="20"/>
                <w:szCs w:val="20"/>
              </w:rPr>
              <w:t>Бұл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көрермендердің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қабылдауына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қалай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әсер</w:t>
            </w:r>
            <w:proofErr w:type="spellEnd"/>
            <w:r w:rsidR="00076EC3" w:rsidRPr="00076EC3">
              <w:rPr>
                <w:sz w:val="20"/>
                <w:szCs w:val="20"/>
              </w:rPr>
              <w:t xml:space="preserve"> </w:t>
            </w:r>
            <w:proofErr w:type="spellStart"/>
            <w:r w:rsidR="00076EC3" w:rsidRPr="00076EC3">
              <w:rPr>
                <w:sz w:val="20"/>
                <w:szCs w:val="20"/>
              </w:rPr>
              <w:t>етеді</w:t>
            </w:r>
            <w:proofErr w:type="spellEnd"/>
            <w:r w:rsidR="00076EC3" w:rsidRPr="00076EC3">
              <w:rPr>
                <w:sz w:val="20"/>
                <w:szCs w:val="20"/>
              </w:rPr>
              <w:t>?</w:t>
            </w:r>
          </w:p>
        </w:tc>
        <w:tc>
          <w:tcPr>
            <w:tcW w:w="860" w:type="dxa"/>
            <w:shd w:val="clear" w:color="auto" w:fill="auto"/>
          </w:tcPr>
          <w:p w14:paraId="6104F9D5" w14:textId="3BF5D2FA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F14DDA" w14:textId="60AB9B8F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4F67A5F7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Орындар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мен </w:t>
            </w:r>
            <w:proofErr w:type="spellStart"/>
            <w:r w:rsidR="003708FF" w:rsidRPr="003708FF">
              <w:rPr>
                <w:sz w:val="20"/>
                <w:szCs w:val="20"/>
              </w:rPr>
              <w:t>декорациялар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: </w:t>
            </w:r>
            <w:proofErr w:type="spellStart"/>
            <w:r w:rsidR="003708FF" w:rsidRPr="003708FF">
              <w:rPr>
                <w:sz w:val="20"/>
                <w:szCs w:val="20"/>
              </w:rPr>
              <w:t>түсірілім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орындарын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таңдау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және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бірегей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кеңістіктер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  <w:proofErr w:type="spellStart"/>
            <w:r w:rsidR="003708FF" w:rsidRPr="003708FF">
              <w:rPr>
                <w:sz w:val="20"/>
                <w:szCs w:val="20"/>
              </w:rPr>
              <w:t>жасау</w:t>
            </w:r>
            <w:proofErr w:type="spellEnd"/>
            <w:r w:rsidR="003708FF" w:rsidRPr="00370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1D44693" w14:textId="327B9584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A23B741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DE5ABE1" w14:textId="77777777" w:rsidR="005C7CFD" w:rsidRPr="005C7CFD" w:rsidRDefault="00885248" w:rsidP="005C7CFD">
            <w:pPr>
              <w:rPr>
                <w:sz w:val="20"/>
                <w:szCs w:val="20"/>
              </w:rPr>
            </w:pPr>
            <w:r w:rsidRPr="005C7CFD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5C7CFD">
              <w:rPr>
                <w:b/>
                <w:sz w:val="20"/>
                <w:szCs w:val="20"/>
              </w:rPr>
              <w:t xml:space="preserve"> 5.</w:t>
            </w:r>
            <w:r w:rsidR="008642A4" w:rsidRPr="005C7CFD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Орындар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мен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жиынтықтар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танымал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фильмдердің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мысалдарын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қолдана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отырып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,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түсірілім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орындарын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таңдау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және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Жиынтықтар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жасау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фильмнің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атмосферасына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қалай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әсер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ететіндігі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туралы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зерттеу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5C7CFD" w:rsidRPr="005C7CFD">
              <w:rPr>
                <w:rFonts w:eastAsia="Aptos"/>
                <w:sz w:val="20"/>
                <w:szCs w:val="20"/>
              </w:rPr>
              <w:t>жүргізіңіз</w:t>
            </w:r>
            <w:proofErr w:type="spellEnd"/>
            <w:r w:rsidR="005C7CFD" w:rsidRPr="005C7CFD">
              <w:rPr>
                <w:rFonts w:eastAsia="Aptos"/>
                <w:sz w:val="20"/>
                <w:szCs w:val="20"/>
              </w:rPr>
              <w:t xml:space="preserve">. </w:t>
            </w:r>
          </w:p>
          <w:p w14:paraId="230D8847" w14:textId="4EFFC52F" w:rsidR="008642A4" w:rsidRPr="005C7CFD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5931CBDB" w14:textId="3130A021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6667602" w14:textId="317BD0B4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A1A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4268ED33"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F52A9F">
              <w:rPr>
                <w:b/>
                <w:color w:val="FF0000"/>
                <w:sz w:val="20"/>
                <w:szCs w:val="20"/>
                <w:lang w:val="kk-KZ"/>
              </w:rPr>
              <w:t>Атауы</w:t>
            </w:r>
            <w:r w:rsidR="008642A4"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...</w:t>
            </w:r>
          </w:p>
        </w:tc>
      </w:tr>
      <w:tr w:rsidR="002F7F65" w:rsidRPr="00BD531C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B581AB3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531C" w:rsidRPr="00BD531C">
              <w:rPr>
                <w:bCs/>
                <w:sz w:val="20"/>
                <w:szCs w:val="20"/>
                <w:lang w:val="kk-KZ"/>
              </w:rPr>
              <w:t>Уақыт пен орынның көрінісі: қоюшы-суретші Тарихи контекстті декорация арқылы қалай жеткізеді.</w:t>
            </w:r>
          </w:p>
        </w:tc>
        <w:tc>
          <w:tcPr>
            <w:tcW w:w="860" w:type="dxa"/>
            <w:shd w:val="clear" w:color="auto" w:fill="auto"/>
          </w:tcPr>
          <w:p w14:paraId="651B0E0A" w14:textId="76026480" w:rsidR="002F7F65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D67DE8" w:rsidR="002F7F65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4B3EE967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7CFD" w:rsidRPr="005C7CFD">
              <w:rPr>
                <w:bCs/>
                <w:sz w:val="20"/>
                <w:szCs w:val="20"/>
                <w:lang w:val="kk-KZ"/>
              </w:rPr>
              <w:t>Тарихи контекст: қоюшы суретшінің қолданылған элементтерге назар аудара отырып, әртүрлі фильмдердегі жиынтықтар арқылы тарихи контекстті қалай жеткізетінін зерттейтін жоба жасаңыз.</w:t>
            </w:r>
          </w:p>
        </w:tc>
        <w:tc>
          <w:tcPr>
            <w:tcW w:w="860" w:type="dxa"/>
            <w:shd w:val="clear" w:color="auto" w:fill="auto"/>
          </w:tcPr>
          <w:p w14:paraId="4BD3CAA0" w14:textId="43A90D6A" w:rsidR="002F7F65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7114780" w14:textId="47747712" w:rsidR="002F7F65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A67CAF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4DA30BAE" w:rsidR="008642A4" w:rsidRPr="00A67CAF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7CAF" w:rsidRPr="00A67CAF">
              <w:rPr>
                <w:lang w:val="kk-KZ"/>
              </w:rPr>
              <w:t>Материалдар мен технологияларды қолдану: дәстүрлі әдістерден қазіргі цифрлық шешімдерге дейін</w:t>
            </w:r>
            <w:r w:rsidR="00A67CAF">
              <w:rPr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5A08C607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DA1E83E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5EB2A535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237F" w:rsidRPr="0024237F">
              <w:rPr>
                <w:sz w:val="20"/>
                <w:szCs w:val="20"/>
                <w:lang w:val="kk-KZ"/>
              </w:rPr>
              <w:t>Дәстүрлер мен инновациялар: заманауи технологиялар қоюшылардың материалдарды пайдалану және декорация жасау тәсілін қалай өзгертетіні туралы эссе жазыңыз.</w:t>
            </w:r>
          </w:p>
        </w:tc>
        <w:tc>
          <w:tcPr>
            <w:tcW w:w="860" w:type="dxa"/>
            <w:shd w:val="clear" w:color="auto" w:fill="auto"/>
          </w:tcPr>
          <w:p w14:paraId="502C11A7" w14:textId="702687BB" w:rsidR="008642A4" w:rsidRPr="00F74A1A" w:rsidRDefault="00F74A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5A9D703F" w:rsidR="008642A4" w:rsidRPr="00F74A1A" w:rsidRDefault="00FA083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BF27B6B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0" w:type="dxa"/>
            <w:shd w:val="clear" w:color="auto" w:fill="auto"/>
          </w:tcPr>
          <w:p w14:paraId="04C86306" w14:textId="5F2BB70F" w:rsidR="00080FF0" w:rsidRPr="00F74A1A" w:rsidRDefault="00F74A1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74A1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3287A35F" w:rsidR="00080FF0" w:rsidRPr="00F74A1A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A67CAF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1ACB9C6" w:rsidR="00080FF0" w:rsidRPr="00A67CAF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7CAF" w:rsidRPr="00A67CAF">
              <w:rPr>
                <w:color w:val="000000" w:themeColor="text1"/>
                <w:sz w:val="20"/>
                <w:szCs w:val="20"/>
                <w:lang w:val="kk-KZ"/>
              </w:rPr>
              <w:t>Түсті қабылдау психологиясы: түстің фильмнің эмоциясы мен атмосферасына әсері.</w:t>
            </w:r>
          </w:p>
        </w:tc>
        <w:tc>
          <w:tcPr>
            <w:tcW w:w="860" w:type="dxa"/>
            <w:shd w:val="clear" w:color="auto" w:fill="auto"/>
          </w:tcPr>
          <w:p w14:paraId="3C5F8DE6" w14:textId="18935106" w:rsidR="00080FF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6982107" w:rsidR="00080FF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41A7A" w:rsidRPr="00355EA3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A67CAF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7BCEE969" w:rsidR="00941A7A" w:rsidRPr="00355E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5EA3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355EA3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941A7A" w:rsidRPr="00355E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EA3" w:rsidRPr="00355EA3">
              <w:rPr>
                <w:rFonts w:eastAsia="Aptos"/>
                <w:sz w:val="20"/>
                <w:szCs w:val="20"/>
                <w:lang w:val="kk-KZ"/>
              </w:rPr>
              <w:t>Түс психологиясы: әртүрлі түстер палитрасы бар бірнеше көріністерге талдау жасау арқылы түстерді пайдалану фильмдердің эмоционалды қабылдауына қалай әсер ететінін зерттеңіз</w:t>
            </w:r>
          </w:p>
        </w:tc>
        <w:tc>
          <w:tcPr>
            <w:tcW w:w="860" w:type="dxa"/>
            <w:shd w:val="clear" w:color="auto" w:fill="auto"/>
          </w:tcPr>
          <w:p w14:paraId="428FA76F" w14:textId="7537FF2D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1734BA" w14:textId="0045684C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80FF0" w:rsidRPr="006A04D7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55E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A04D7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A04D7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6A04D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6A04D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A6AA6" w:rsidRPr="00531869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5FD43896" w:rsidR="00B43A2C" w:rsidRPr="0053186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1869" w:rsidRPr="00531869">
              <w:rPr>
                <w:sz w:val="20"/>
                <w:szCs w:val="20"/>
                <w:lang w:val="kk-KZ"/>
              </w:rPr>
              <w:t>Реквизиттермен жұмыс: Бөлшектердің маңыздылығы және олардың фильмнің жалпы тонусына әсері</w:t>
            </w:r>
          </w:p>
        </w:tc>
        <w:tc>
          <w:tcPr>
            <w:tcW w:w="860" w:type="dxa"/>
            <w:shd w:val="clear" w:color="auto" w:fill="auto"/>
          </w:tcPr>
          <w:p w14:paraId="2BFB5AD3" w14:textId="01BEE456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134A579E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188F32F6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Реквизиттер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мен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мәліметтер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фильмдегі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реквизиттердің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маңыздылығын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көрсетуге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дайындалыңыз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.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Реквизиттер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жалпы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тон мен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атмосфераға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айтарлықтай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әсер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еткен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нақты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мысалдарды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таңдаңыз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4BEE2F5" w14:textId="260FF5DF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A15B316" w14:textId="4D58296A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7DF38C81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14:paraId="487C8D95" w14:textId="4A39AEF2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3C6A28B4" w:rsidR="00B43A2C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080FF0" w:rsidRPr="00531869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6556E32" w:rsidR="00080FF0" w:rsidRPr="0053186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31869">
              <w:rPr>
                <w:b/>
                <w:sz w:val="20"/>
                <w:szCs w:val="20"/>
                <w:lang w:val="kk-KZ"/>
              </w:rPr>
              <w:t>Д</w:t>
            </w:r>
            <w:r w:rsidR="00080FF0" w:rsidRPr="005318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531869">
              <w:rPr>
                <w:b/>
                <w:sz w:val="20"/>
                <w:szCs w:val="20"/>
              </w:rPr>
              <w:t>10.</w:t>
            </w:r>
            <w:r w:rsidR="00531869" w:rsidRPr="005318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1869" w:rsidRPr="00531869">
              <w:rPr>
                <w:sz w:val="20"/>
                <w:szCs w:val="20"/>
                <w:lang w:val="kk-KZ"/>
              </w:rPr>
              <w:t>Кинодағы декорация тарихы:стиль эволюциясы және кеңістікті құру тәсілдері</w:t>
            </w:r>
          </w:p>
        </w:tc>
        <w:tc>
          <w:tcPr>
            <w:tcW w:w="860" w:type="dxa"/>
            <w:shd w:val="clear" w:color="auto" w:fill="auto"/>
          </w:tcPr>
          <w:p w14:paraId="23E11B81" w14:textId="77777777" w:rsidR="00080FF0" w:rsidRPr="00FA083F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FA083F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080FF0" w:rsidRPr="003F2DC5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56835E38" w:rsidR="00080FF0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697944">
              <w:rPr>
                <w:b/>
                <w:sz w:val="20"/>
                <w:szCs w:val="20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590B" w:rsidRPr="0016590B">
              <w:rPr>
                <w:rFonts w:eastAsia="Aptos"/>
                <w:sz w:val="20"/>
                <w:szCs w:val="20"/>
              </w:rPr>
              <w:t xml:space="preserve">Декорация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тарихы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классикалық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Голливудтан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қазіргі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цифрлық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кинотеатрға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дейінгі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декорация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стильдерінің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эволюциясы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туралы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зерттеуді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ұсыныңыз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3473718" w14:textId="4573FC16" w:rsidR="00080FF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196790" w14:textId="0D9AB0EF" w:rsidR="00080FF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285DD19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color w:val="FF0000"/>
                <w:sz w:val="20"/>
                <w:szCs w:val="20"/>
                <w:lang w:val="kk-KZ"/>
              </w:rPr>
              <w:t>Атауы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...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531869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34E5A8D5" w:rsidR="00DB68C0" w:rsidRPr="0053186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1869" w:rsidRPr="00531869">
              <w:rPr>
                <w:sz w:val="20"/>
                <w:szCs w:val="20"/>
                <w:lang w:val="kk-KZ"/>
              </w:rPr>
              <w:t>Сәтті фильмдердің Кейс-кезеңдері: қоюшы-суретшілердің жұмысын мысалдармен талдау</w:t>
            </w:r>
          </w:p>
        </w:tc>
        <w:tc>
          <w:tcPr>
            <w:tcW w:w="860" w:type="dxa"/>
            <w:shd w:val="clear" w:color="auto" w:fill="auto"/>
          </w:tcPr>
          <w:p w14:paraId="167CA1BA" w14:textId="02828B9B" w:rsidR="00DB68C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532776C" w:rsidR="00DB68C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02B59523" w14:textId="77777777" w:rsidTr="0016590B">
        <w:trPr>
          <w:trHeight w:val="764"/>
        </w:trPr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28208248" w:rsidR="00DB68C0" w:rsidRPr="00697944" w:rsidRDefault="00603E19" w:rsidP="001659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Іс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кезеңдері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бір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немесе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бірнеше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сәтті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фильмдерді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таңдап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,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оларды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жасаудағы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қоюшы-суретшінің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рөлін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қарастырыңыз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.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Оның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жұмысы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жобаның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сәттілігіне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қалай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әсер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16590B" w:rsidRPr="0016590B">
              <w:rPr>
                <w:rFonts w:eastAsia="Aptos"/>
                <w:sz w:val="20"/>
                <w:szCs w:val="20"/>
              </w:rPr>
              <w:t>етті</w:t>
            </w:r>
            <w:proofErr w:type="spellEnd"/>
            <w:r w:rsidR="0016590B" w:rsidRPr="0016590B">
              <w:rPr>
                <w:rFonts w:eastAsia="Aptos"/>
                <w:sz w:val="20"/>
                <w:szCs w:val="20"/>
              </w:rPr>
              <w:t xml:space="preserve">? </w:t>
            </w:r>
          </w:p>
        </w:tc>
        <w:tc>
          <w:tcPr>
            <w:tcW w:w="860" w:type="dxa"/>
            <w:shd w:val="clear" w:color="auto" w:fill="auto"/>
          </w:tcPr>
          <w:p w14:paraId="011EE51D" w14:textId="5C1C5A54" w:rsidR="00DB68C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94838BE" w14:textId="46C22F2B" w:rsidR="00DB68C0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2D78F3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028445C5" w:rsidR="00941A7A" w:rsidRPr="002D78F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78F3" w:rsidRPr="00037114">
              <w:rPr>
                <w:sz w:val="20"/>
                <w:szCs w:val="20"/>
                <w:lang w:val="kk-KZ"/>
              </w:rPr>
              <w:t>Шығармашылық процестер мен Шабыт: идеяларды қалай табуға және оларды кино түсіруге бейімдеуге болады</w:t>
            </w:r>
          </w:p>
        </w:tc>
        <w:tc>
          <w:tcPr>
            <w:tcW w:w="860" w:type="dxa"/>
            <w:shd w:val="clear" w:color="auto" w:fill="auto"/>
          </w:tcPr>
          <w:p w14:paraId="6422F453" w14:textId="2298589E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98C70A0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41A7A" w:rsidRPr="003F2DC5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71D4570D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Шығармашылық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процестер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күтпеген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Шабыт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көздерінен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бастап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топтарды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алыңыз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және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фильм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үшін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идеялармен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алмасыңыз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.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Әр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топ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өз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идеяларын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сынып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алдында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ұсынуы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керек</w:t>
            </w:r>
          </w:p>
        </w:tc>
        <w:tc>
          <w:tcPr>
            <w:tcW w:w="860" w:type="dxa"/>
            <w:shd w:val="clear" w:color="auto" w:fill="auto"/>
          </w:tcPr>
          <w:p w14:paraId="76FDDF2C" w14:textId="41794841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4679067" w14:textId="64D5AD9E" w:rsidR="00941A7A" w:rsidRPr="00FA083F" w:rsidRDefault="00FA083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44CB6AA" w:rsidR="00941A7A" w:rsidRPr="0069794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74727597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5165F4FC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12</w:t>
            </w:r>
          </w:p>
        </w:tc>
      </w:tr>
      <w:tr w:rsidR="001A6AA6" w:rsidRPr="00037114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ABE463" w:rsidR="00941A7A" w:rsidRPr="0003711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AF62D6">
              <w:rPr>
                <w:b/>
                <w:sz w:val="20"/>
                <w:szCs w:val="20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7114" w:rsidRPr="00037114">
              <w:rPr>
                <w:sz w:val="20"/>
                <w:szCs w:val="20"/>
                <w:lang w:val="kk-KZ"/>
              </w:rPr>
              <w:t>Дизайндағы трендтер және олардың киноға әсері: бейнелеу өнеріндегі өзекті тенденциялар мен инновациялар</w:t>
            </w:r>
          </w:p>
        </w:tc>
        <w:tc>
          <w:tcPr>
            <w:tcW w:w="860" w:type="dxa"/>
            <w:shd w:val="clear" w:color="auto" w:fill="auto"/>
          </w:tcPr>
          <w:p w14:paraId="3B502940" w14:textId="51D7EE73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FA083F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3E399B3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FA083F">
              <w:rPr>
                <w:bCs/>
                <w:sz w:val="20"/>
                <w:szCs w:val="20"/>
                <w:highlight w:val="lightGray"/>
                <w:lang w:val="kk-KZ"/>
              </w:rPr>
              <w:t>0</w:t>
            </w: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3659EB1C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AF62D6">
              <w:rPr>
                <w:b/>
                <w:sz w:val="20"/>
                <w:szCs w:val="20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6443" w:rsidRPr="00766443">
              <w:rPr>
                <w:sz w:val="20"/>
                <w:szCs w:val="20"/>
                <w:lang w:val="kk-KZ"/>
              </w:rPr>
              <w:t>Дизайн трендтері: заманауи дизайн трендтерін зерттеңіз және олардың жаңа фильмде декорация жасауға қалай әсер ететінін талдаңыз. Табылғаныңызды инфографика түрінде көрсетіңіз</w:t>
            </w:r>
          </w:p>
        </w:tc>
        <w:tc>
          <w:tcPr>
            <w:tcW w:w="860" w:type="dxa"/>
            <w:shd w:val="clear" w:color="auto" w:fill="auto"/>
          </w:tcPr>
          <w:p w14:paraId="632D7D85" w14:textId="2D8C65C2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FA083F">
              <w:rPr>
                <w:bCs/>
                <w:sz w:val="20"/>
                <w:szCs w:val="20"/>
                <w:highlight w:val="lightGray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3354CE1" w14:textId="7E28955F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FA083F">
              <w:rPr>
                <w:bCs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FA083F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FA083F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076EC3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F33D6AD" w:rsidR="00603E19" w:rsidRPr="00076EC3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6EC3" w:rsidRPr="00076EC3">
              <w:rPr>
                <w:sz w:val="20"/>
                <w:szCs w:val="20"/>
                <w:lang w:val="kk-KZ"/>
              </w:rPr>
              <w:t>Қоюшы-суретшінің жұмысындағы қиындықтар мен қиындықтар: бюджетті, уақытты және ресурстарды басқару</w:t>
            </w:r>
          </w:p>
        </w:tc>
        <w:tc>
          <w:tcPr>
            <w:tcW w:w="860" w:type="dxa"/>
            <w:shd w:val="clear" w:color="auto" w:fill="auto"/>
          </w:tcPr>
          <w:p w14:paraId="714D747A" w14:textId="75F74BCE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2B240610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53949081" w:rsidR="00603E19" w:rsidRPr="00766443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6443">
              <w:rPr>
                <w:b/>
                <w:sz w:val="20"/>
                <w:szCs w:val="20"/>
              </w:rPr>
              <w:t>З</w:t>
            </w:r>
            <w:r w:rsidRPr="00766443">
              <w:rPr>
                <w:b/>
                <w:sz w:val="20"/>
                <w:szCs w:val="20"/>
                <w:lang w:val="kk-KZ"/>
              </w:rPr>
              <w:t>С</w:t>
            </w:r>
            <w:r w:rsidRPr="00766443">
              <w:rPr>
                <w:b/>
                <w:sz w:val="20"/>
                <w:szCs w:val="20"/>
              </w:rPr>
              <w:t xml:space="preserve"> 14.</w:t>
            </w:r>
            <w:r w:rsidRPr="007664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Мамандықтағы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мәселелер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: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пікірталас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сценарийін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дайындаңыз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,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онда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бір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топ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қоюшы-суретшінің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жұмысындағы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қиындықтар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мен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қиындықтарды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, ал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екіншісі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мүмкін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шешімдерді</w:t>
            </w:r>
            <w:proofErr w:type="spellEnd"/>
            <w:r w:rsidR="00766443" w:rsidRPr="00766443">
              <w:rPr>
                <w:rFonts w:eastAsia="Aptos"/>
                <w:sz w:val="20"/>
                <w:szCs w:val="20"/>
              </w:rPr>
              <w:t xml:space="preserve"> </w:t>
            </w:r>
            <w:proofErr w:type="spellStart"/>
            <w:r w:rsidR="00766443" w:rsidRPr="00766443">
              <w:rPr>
                <w:rFonts w:eastAsia="Aptos"/>
                <w:sz w:val="20"/>
                <w:szCs w:val="20"/>
              </w:rPr>
              <w:t>талқылайды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15C91C1" w14:textId="200960C4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75046E5" w14:textId="22D20796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D281BB9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14:paraId="75BC51FF" w14:textId="4FA852FD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29E3B4B7" w:rsidR="00603E19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12</w:t>
            </w:r>
          </w:p>
        </w:tc>
      </w:tr>
      <w:tr w:rsidR="001A6AA6" w:rsidRPr="00076EC3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419EB88C" w:rsidR="00941A7A" w:rsidRPr="00076EC3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6EC3" w:rsidRPr="00076EC3">
              <w:rPr>
                <w:sz w:val="20"/>
                <w:szCs w:val="20"/>
                <w:lang w:val="kk-KZ"/>
              </w:rPr>
              <w:t>Мамандықтың болашағы: цифрлық кино дәуіріндегі қоюшы-суретшілердің жұмысындағы жаңа технологиялар мен тәсілдер</w:t>
            </w:r>
          </w:p>
        </w:tc>
        <w:tc>
          <w:tcPr>
            <w:tcW w:w="860" w:type="dxa"/>
            <w:shd w:val="clear" w:color="auto" w:fill="auto"/>
          </w:tcPr>
          <w:p w14:paraId="4349AE46" w14:textId="1F989245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B3026FA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6AA6" w:rsidRPr="00766443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076EC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369707A" w:rsidR="00941A7A" w:rsidRPr="0076644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6644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766443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6443" w:rsidRPr="00766443">
              <w:rPr>
                <w:sz w:val="20"/>
                <w:szCs w:val="20"/>
                <w:lang w:val="kk-KZ"/>
              </w:rPr>
              <w:t>Мамандықтың болашағы: қоюшы-суретші мамандығының болашағы туралы көзқарасыңызды және цифрлық кино дәуіріндегі жаңа технологиялардың осы процеске әсерін көрсететін жобаны жасаңыз.</w:t>
            </w:r>
          </w:p>
        </w:tc>
        <w:tc>
          <w:tcPr>
            <w:tcW w:w="860" w:type="dxa"/>
            <w:shd w:val="clear" w:color="auto" w:fill="auto"/>
          </w:tcPr>
          <w:p w14:paraId="233FF543" w14:textId="41540A5B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7B0CF5F" w14:textId="501E0E1D" w:rsidR="00941A7A" w:rsidRPr="00FA083F" w:rsidRDefault="00FA083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A083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1D695011" w:rsidR="00A72D3C" w:rsidRPr="006A04D7" w:rsidRDefault="008642A4" w:rsidP="006A04D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2B10942" w14:textId="040FF9A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66443">
        <w:rPr>
          <w:b/>
          <w:sz w:val="20"/>
          <w:szCs w:val="20"/>
          <w:lang w:val="kk-KZ"/>
        </w:rPr>
        <w:t>Ауесбай К.А.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13D7E1A0" w14:textId="787FDC11" w:rsidR="00F0698E" w:rsidRPr="007928EB" w:rsidRDefault="00F0698E" w:rsidP="006A04D7">
      <w:pPr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2D65EAB6" w:rsidR="0007657C" w:rsidRPr="00766443" w:rsidRDefault="0007657C" w:rsidP="006A04D7">
      <w:pPr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</w:t>
      </w:r>
      <w:r w:rsidR="00766443">
        <w:rPr>
          <w:b/>
          <w:sz w:val="20"/>
          <w:szCs w:val="20"/>
          <w:lang w:val="kk-KZ"/>
        </w:rPr>
        <w:t>йымы</w:t>
      </w:r>
      <w:r w:rsidR="0006238E" w:rsidRPr="007928EB">
        <w:rPr>
          <w:b/>
          <w:sz w:val="20"/>
          <w:szCs w:val="20"/>
        </w:rPr>
        <w:t>________</w:t>
      </w:r>
      <w:r w:rsidR="00766443">
        <w:rPr>
          <w:b/>
          <w:sz w:val="20"/>
          <w:szCs w:val="20"/>
          <w:lang w:val="kk-KZ"/>
        </w:rPr>
        <w:t>Негизбаева М.О.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E76087" w:rsidR="00310C76" w:rsidRPr="00766443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766443">
        <w:rPr>
          <w:b/>
          <w:sz w:val="20"/>
          <w:szCs w:val="20"/>
          <w:lang w:val="kk-KZ"/>
        </w:rPr>
        <w:t>Альжанова А.Б.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A0EF347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766443">
        <w:rPr>
          <w:b/>
          <w:sz w:val="20"/>
          <w:szCs w:val="20"/>
          <w:lang w:val="kk-KZ"/>
        </w:rPr>
        <w:t>Нуспекова Ж.Т.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6EB5AEF3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2C3B2B">
        <w:rPr>
          <w:rStyle w:val="normaltextrun"/>
          <w:b/>
          <w:bCs/>
          <w:color w:val="FF0000"/>
          <w:sz w:val="20"/>
          <w:szCs w:val="20"/>
          <w:lang w:val="kk-KZ"/>
        </w:rPr>
        <w:t>Әрбір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6A04D7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6A04D7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6A04D7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6A04D7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6A04D7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6A04D7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B483" w14:textId="77777777" w:rsidR="00D652B6" w:rsidRDefault="00D652B6" w:rsidP="004C6A23">
      <w:r>
        <w:separator/>
      </w:r>
    </w:p>
  </w:endnote>
  <w:endnote w:type="continuationSeparator" w:id="0">
    <w:p w14:paraId="6B6318B5" w14:textId="77777777" w:rsidR="00D652B6" w:rsidRDefault="00D652B6" w:rsidP="004C6A23">
      <w:r>
        <w:continuationSeparator/>
      </w:r>
    </w:p>
  </w:endnote>
  <w:endnote w:type="continuationNotice" w:id="1">
    <w:p w14:paraId="49CE7E69" w14:textId="77777777" w:rsidR="00D652B6" w:rsidRDefault="00D65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CE85" w14:textId="77777777" w:rsidR="00D652B6" w:rsidRDefault="00D652B6" w:rsidP="004C6A23">
      <w:r>
        <w:separator/>
      </w:r>
    </w:p>
  </w:footnote>
  <w:footnote w:type="continuationSeparator" w:id="0">
    <w:p w14:paraId="003999D0" w14:textId="77777777" w:rsidR="00D652B6" w:rsidRDefault="00D652B6" w:rsidP="004C6A23">
      <w:r>
        <w:continuationSeparator/>
      </w:r>
    </w:p>
  </w:footnote>
  <w:footnote w:type="continuationNotice" w:id="1">
    <w:p w14:paraId="5640E113" w14:textId="77777777" w:rsidR="00D652B6" w:rsidRDefault="00D652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114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76EC3"/>
    <w:rsid w:val="00080984"/>
    <w:rsid w:val="00080FF0"/>
    <w:rsid w:val="0008541E"/>
    <w:rsid w:val="000936D2"/>
    <w:rsid w:val="000955E8"/>
    <w:rsid w:val="0009799E"/>
    <w:rsid w:val="00097DCE"/>
    <w:rsid w:val="000A30E3"/>
    <w:rsid w:val="000A4445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19E8"/>
    <w:rsid w:val="001640C9"/>
    <w:rsid w:val="0016590B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A7815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37F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D78F3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5EA3"/>
    <w:rsid w:val="00361A10"/>
    <w:rsid w:val="00362E3D"/>
    <w:rsid w:val="00365EF8"/>
    <w:rsid w:val="00366E25"/>
    <w:rsid w:val="003708FF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186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C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04D7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2F28"/>
    <w:rsid w:val="0076487E"/>
    <w:rsid w:val="00766443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E22"/>
    <w:rsid w:val="00A60557"/>
    <w:rsid w:val="00A615CB"/>
    <w:rsid w:val="00A61D4A"/>
    <w:rsid w:val="00A63353"/>
    <w:rsid w:val="00A64305"/>
    <w:rsid w:val="00A66D5D"/>
    <w:rsid w:val="00A67CA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E66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31C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652B6"/>
    <w:rsid w:val="00D73188"/>
    <w:rsid w:val="00D82A1B"/>
    <w:rsid w:val="00D82B17"/>
    <w:rsid w:val="00D85871"/>
    <w:rsid w:val="00D86236"/>
    <w:rsid w:val="00D87FC7"/>
    <w:rsid w:val="00D90B92"/>
    <w:rsid w:val="00DA13F4"/>
    <w:rsid w:val="00DA2F7B"/>
    <w:rsid w:val="00DA782A"/>
    <w:rsid w:val="00DB06C9"/>
    <w:rsid w:val="00DB1F66"/>
    <w:rsid w:val="00DB2D4A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4A1A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083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AC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Professional</cp:lastModifiedBy>
  <cp:revision>151</cp:revision>
  <cp:lastPrinted>2023-06-26T06:36:00Z</cp:lastPrinted>
  <dcterms:created xsi:type="dcterms:W3CDTF">2023-06-23T02:50:00Z</dcterms:created>
  <dcterms:modified xsi:type="dcterms:W3CDTF">2024-10-13T09:40:00Z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